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F2B0D" w14:textId="4AA8D7CC" w:rsidR="00C173D5" w:rsidRDefault="00C173D5">
      <w:pPr>
        <w:rPr>
          <w:color w:val="3B3838" w:themeColor="background2" w:themeShade="40"/>
        </w:rPr>
      </w:pPr>
      <w:r>
        <w:rPr>
          <w:color w:val="3B3838" w:themeColor="background2" w:themeShade="40"/>
        </w:rPr>
        <w:tab/>
      </w:r>
      <w:r>
        <w:rPr>
          <w:color w:val="3B3838" w:themeColor="background2" w:themeShade="40"/>
        </w:rPr>
        <w:tab/>
      </w:r>
      <w:r>
        <w:rPr>
          <w:color w:val="3B3838" w:themeColor="background2" w:themeShade="40"/>
        </w:rPr>
        <w:tab/>
      </w:r>
      <w:r>
        <w:rPr>
          <w:color w:val="3B3838" w:themeColor="background2" w:themeShade="40"/>
        </w:rPr>
        <w:tab/>
      </w:r>
      <w:r>
        <w:rPr>
          <w:color w:val="3B3838" w:themeColor="background2" w:themeShade="40"/>
        </w:rPr>
        <w:tab/>
      </w:r>
      <w:r>
        <w:rPr>
          <w:color w:val="3B3838" w:themeColor="background2" w:themeShade="40"/>
        </w:rPr>
        <w:tab/>
      </w:r>
      <w:r>
        <w:rPr>
          <w:color w:val="3B3838" w:themeColor="background2" w:themeShade="40"/>
        </w:rPr>
        <w:tab/>
      </w:r>
      <w:r>
        <w:rPr>
          <w:color w:val="3B3838" w:themeColor="background2" w:themeShade="40"/>
        </w:rPr>
        <w:tab/>
      </w:r>
      <w:r>
        <w:rPr>
          <w:color w:val="3B3838" w:themeColor="background2" w:themeShade="40"/>
        </w:rPr>
        <w:tab/>
      </w:r>
      <w:r>
        <w:rPr>
          <w:color w:val="3B3838" w:themeColor="background2" w:themeShade="40"/>
        </w:rPr>
        <w:tab/>
        <w:t>Februari 2022</w:t>
      </w:r>
    </w:p>
    <w:p w14:paraId="062D4970" w14:textId="01EBEC91" w:rsidR="000D06BC" w:rsidRPr="00C173D5" w:rsidRDefault="000D06BC">
      <w:pPr>
        <w:rPr>
          <w:color w:val="3B3838" w:themeColor="background2" w:themeShade="40"/>
        </w:rPr>
      </w:pPr>
      <w:r w:rsidRPr="00C173D5">
        <w:rPr>
          <w:color w:val="3B3838" w:themeColor="background2" w:themeShade="40"/>
        </w:rPr>
        <w:t>Geachte Mijnheer de Eerste</w:t>
      </w:r>
      <w:r w:rsidR="00DD3623" w:rsidRPr="00C173D5">
        <w:rPr>
          <w:color w:val="3B3838" w:themeColor="background2" w:themeShade="40"/>
        </w:rPr>
        <w:t xml:space="preserve"> m</w:t>
      </w:r>
      <w:r w:rsidRPr="00C173D5">
        <w:rPr>
          <w:color w:val="3B3838" w:themeColor="background2" w:themeShade="40"/>
        </w:rPr>
        <w:t>inister,</w:t>
      </w:r>
      <w:r w:rsidRPr="00C173D5">
        <w:rPr>
          <w:color w:val="3B3838" w:themeColor="background2" w:themeShade="40"/>
        </w:rPr>
        <w:br/>
        <w:t xml:space="preserve">Geachte Mevrouw de </w:t>
      </w:r>
      <w:r w:rsidR="00DD3623" w:rsidRPr="00C173D5">
        <w:rPr>
          <w:color w:val="3B3838" w:themeColor="background2" w:themeShade="40"/>
        </w:rPr>
        <w:t>Vice-Eersteminister</w:t>
      </w:r>
      <w:r w:rsidRPr="00C173D5">
        <w:rPr>
          <w:color w:val="3B3838" w:themeColor="background2" w:themeShade="40"/>
        </w:rPr>
        <w:t>,</w:t>
      </w:r>
      <w:r w:rsidRPr="00C173D5">
        <w:rPr>
          <w:color w:val="3B3838" w:themeColor="background2" w:themeShade="40"/>
        </w:rPr>
        <w:br/>
        <w:t xml:space="preserve">Geachte Heer de </w:t>
      </w:r>
      <w:r w:rsidR="00DD3623" w:rsidRPr="00C173D5">
        <w:rPr>
          <w:color w:val="3B3838" w:themeColor="background2" w:themeShade="40"/>
        </w:rPr>
        <w:t>Vice-Eersteminister</w:t>
      </w:r>
      <w:r w:rsidRPr="00C173D5">
        <w:rPr>
          <w:color w:val="3B3838" w:themeColor="background2" w:themeShade="40"/>
        </w:rPr>
        <w:t>,</w:t>
      </w:r>
    </w:p>
    <w:p w14:paraId="7F42180A" w14:textId="7BAB2542" w:rsidR="000D06BC" w:rsidRPr="00C173D5" w:rsidRDefault="000D06BC">
      <w:pPr>
        <w:rPr>
          <w:color w:val="3B3838" w:themeColor="background2" w:themeShade="40"/>
        </w:rPr>
      </w:pPr>
    </w:p>
    <w:p w14:paraId="3612D10A" w14:textId="6C606B84" w:rsidR="000D06BC" w:rsidRPr="00C173D5" w:rsidRDefault="00590CCB">
      <w:pPr>
        <w:rPr>
          <w:color w:val="3B3838" w:themeColor="background2" w:themeShade="40"/>
        </w:rPr>
      </w:pPr>
      <w:r w:rsidRPr="00C173D5">
        <w:rPr>
          <w:color w:val="3B3838" w:themeColor="background2" w:themeShade="40"/>
        </w:rPr>
        <w:t>Ik ben een ambtenaar bij de federale overheid</w:t>
      </w:r>
      <w:r w:rsidR="00E91B53" w:rsidRPr="00C173D5">
        <w:rPr>
          <w:color w:val="3B3838" w:themeColor="background2" w:themeShade="40"/>
        </w:rPr>
        <w:t>.</w:t>
      </w:r>
      <w:r w:rsidRPr="00C173D5">
        <w:rPr>
          <w:color w:val="3B3838" w:themeColor="background2" w:themeShade="40"/>
        </w:rPr>
        <w:t xml:space="preserve"> </w:t>
      </w:r>
      <w:r w:rsidR="000D06BC" w:rsidRPr="00C173D5">
        <w:rPr>
          <w:color w:val="3B3838" w:themeColor="background2" w:themeShade="40"/>
        </w:rPr>
        <w:t xml:space="preserve">De gesprekken met betrekking tot de budgettaire controle worden binnenkort opgestart. In kader van deze gesprekken willen </w:t>
      </w:r>
      <w:r w:rsidR="00E91B53" w:rsidRPr="00C173D5">
        <w:rPr>
          <w:color w:val="3B3838" w:themeColor="background2" w:themeShade="40"/>
        </w:rPr>
        <w:t>ik</w:t>
      </w:r>
      <w:r w:rsidR="000D06BC" w:rsidRPr="00C173D5">
        <w:rPr>
          <w:color w:val="3B3838" w:themeColor="background2" w:themeShade="40"/>
        </w:rPr>
        <w:t xml:space="preserve"> u </w:t>
      </w:r>
      <w:r w:rsidR="00E91B53" w:rsidRPr="00C173D5">
        <w:rPr>
          <w:color w:val="3B3838" w:themeColor="background2" w:themeShade="40"/>
        </w:rPr>
        <w:t>mijn</w:t>
      </w:r>
      <w:r w:rsidR="000D06BC" w:rsidRPr="00C173D5">
        <w:rPr>
          <w:color w:val="3B3838" w:themeColor="background2" w:themeShade="40"/>
        </w:rPr>
        <w:t xml:space="preserve"> bezorgdheden overmaken voor het Federaal Openbaar Ambt.</w:t>
      </w:r>
    </w:p>
    <w:p w14:paraId="2773A74B" w14:textId="55A98B36" w:rsidR="000D06BC" w:rsidRPr="00C173D5" w:rsidRDefault="00E91B53">
      <w:pPr>
        <w:rPr>
          <w:color w:val="3B3838" w:themeColor="background2" w:themeShade="40"/>
        </w:rPr>
      </w:pPr>
      <w:r w:rsidRPr="00C173D5">
        <w:rPr>
          <w:color w:val="3B3838" w:themeColor="background2" w:themeShade="40"/>
        </w:rPr>
        <w:t>S</w:t>
      </w:r>
      <w:r w:rsidR="000D06BC" w:rsidRPr="00C173D5">
        <w:rPr>
          <w:color w:val="3B3838" w:themeColor="background2" w:themeShade="40"/>
        </w:rPr>
        <w:t xml:space="preserve">inds 2002 </w:t>
      </w:r>
      <w:r w:rsidRPr="00C173D5">
        <w:rPr>
          <w:color w:val="3B3838" w:themeColor="background2" w:themeShade="40"/>
        </w:rPr>
        <w:t>hebben mijn collega</w:t>
      </w:r>
      <w:r w:rsidR="002D38B1">
        <w:rPr>
          <w:color w:val="3B3838" w:themeColor="background2" w:themeShade="40"/>
        </w:rPr>
        <w:t>’</w:t>
      </w:r>
      <w:r w:rsidRPr="00C173D5">
        <w:rPr>
          <w:color w:val="3B3838" w:themeColor="background2" w:themeShade="40"/>
        </w:rPr>
        <w:t xml:space="preserve">s </w:t>
      </w:r>
      <w:r w:rsidR="002D38B1">
        <w:rPr>
          <w:color w:val="3B3838" w:themeColor="background2" w:themeShade="40"/>
        </w:rPr>
        <w:t xml:space="preserve">en ik </w:t>
      </w:r>
      <w:r w:rsidR="000D06BC" w:rsidRPr="00C173D5">
        <w:rPr>
          <w:color w:val="3B3838" w:themeColor="background2" w:themeShade="40"/>
        </w:rPr>
        <w:t>geen enkele verhoging in de weddeschalen gekend buiten de index</w:t>
      </w:r>
      <w:r w:rsidR="00E52062" w:rsidRPr="00C173D5">
        <w:rPr>
          <w:color w:val="3B3838" w:themeColor="background2" w:themeShade="40"/>
        </w:rPr>
        <w:t>ering</w:t>
      </w:r>
      <w:r w:rsidR="000D06BC" w:rsidRPr="00C173D5">
        <w:rPr>
          <w:color w:val="3B3838" w:themeColor="background2" w:themeShade="40"/>
        </w:rPr>
        <w:t xml:space="preserve">. De </w:t>
      </w:r>
      <w:r w:rsidR="00E52062" w:rsidRPr="00C173D5">
        <w:rPr>
          <w:color w:val="3B3838" w:themeColor="background2" w:themeShade="40"/>
        </w:rPr>
        <w:t>Federale ambtenaren hebben sinds</w:t>
      </w:r>
      <w:r w:rsidR="000D06BC" w:rsidRPr="00C173D5">
        <w:rPr>
          <w:color w:val="3B3838" w:themeColor="background2" w:themeShade="40"/>
        </w:rPr>
        <w:t>dien moeten zien hoe</w:t>
      </w:r>
      <w:r w:rsidR="002D38B1">
        <w:rPr>
          <w:color w:val="3B3838" w:themeColor="background2" w:themeShade="40"/>
        </w:rPr>
        <w:t xml:space="preserve"> voor</w:t>
      </w:r>
      <w:r w:rsidR="000D06BC" w:rsidRPr="00C173D5">
        <w:rPr>
          <w:color w:val="3B3838" w:themeColor="background2" w:themeShade="40"/>
        </w:rPr>
        <w:t xml:space="preserve"> lonen in de </w:t>
      </w:r>
      <w:r w:rsidR="00E52062" w:rsidRPr="00C173D5">
        <w:rPr>
          <w:color w:val="3B3838" w:themeColor="background2" w:themeShade="40"/>
        </w:rPr>
        <w:t xml:space="preserve">private </w:t>
      </w:r>
      <w:r w:rsidR="000D06BC" w:rsidRPr="00C173D5">
        <w:rPr>
          <w:color w:val="3B3838" w:themeColor="background2" w:themeShade="40"/>
        </w:rPr>
        <w:t>sector via het interprofessioneel akkoord v</w:t>
      </w:r>
      <w:r w:rsidR="00E52062" w:rsidRPr="00C173D5">
        <w:rPr>
          <w:color w:val="3B3838" w:themeColor="background2" w:themeShade="40"/>
        </w:rPr>
        <w:t>olgend</w:t>
      </w:r>
      <w:r w:rsidR="000D06BC" w:rsidRPr="00C173D5">
        <w:rPr>
          <w:color w:val="3B3838" w:themeColor="background2" w:themeShade="40"/>
        </w:rPr>
        <w:t xml:space="preserve">e verhogingen </w:t>
      </w:r>
      <w:r w:rsidR="00E52062" w:rsidRPr="00C173D5">
        <w:rPr>
          <w:color w:val="3B3838" w:themeColor="background2" w:themeShade="40"/>
        </w:rPr>
        <w:t>mogelijk</w:t>
      </w:r>
      <w:r w:rsidR="000D06BC" w:rsidRPr="00C173D5">
        <w:rPr>
          <w:color w:val="3B3838" w:themeColor="background2" w:themeShade="40"/>
        </w:rPr>
        <w:t xml:space="preserve"> </w:t>
      </w:r>
      <w:r w:rsidR="00E52062" w:rsidRPr="00C173D5">
        <w:rPr>
          <w:color w:val="3B3838" w:themeColor="background2" w:themeShade="40"/>
        </w:rPr>
        <w:t>waren</w:t>
      </w:r>
      <w:r w:rsidR="000D06BC" w:rsidRPr="00C173D5">
        <w:rPr>
          <w:color w:val="3B3838" w:themeColor="background2" w:themeShade="40"/>
        </w:rPr>
        <w:t>:</w:t>
      </w:r>
    </w:p>
    <w:tbl>
      <w:tblPr>
        <w:tblW w:w="9111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1559"/>
        <w:gridCol w:w="6096"/>
      </w:tblGrid>
      <w:tr w:rsidR="00C173D5" w:rsidRPr="00C173D5" w14:paraId="1E8A1346" w14:textId="77777777" w:rsidTr="00FC768B">
        <w:trPr>
          <w:tblCellSpacing w:w="15" w:type="dxa"/>
        </w:trPr>
        <w:tc>
          <w:tcPr>
            <w:tcW w:w="141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180222B" w14:textId="77777777" w:rsidR="000D06BC" w:rsidRPr="00C173D5" w:rsidRDefault="000D06BC" w:rsidP="000D06BC">
            <w:pPr>
              <w:spacing w:after="0" w:line="240" w:lineRule="auto"/>
              <w:rPr>
                <w:rFonts w:eastAsia="Times New Roman" w:cstheme="minorHAnsi"/>
                <w:color w:val="3B3838" w:themeColor="background2" w:themeShade="40"/>
                <w:sz w:val="20"/>
                <w:szCs w:val="20"/>
                <w:lang w:eastAsia="nl-BE"/>
              </w:rPr>
            </w:pPr>
            <w:r w:rsidRPr="00C173D5">
              <w:rPr>
                <w:rFonts w:eastAsia="Times New Roman" w:cstheme="minorHAnsi"/>
                <w:b/>
                <w:bCs/>
                <w:color w:val="3B3838" w:themeColor="background2" w:themeShade="40"/>
                <w:sz w:val="20"/>
                <w:szCs w:val="20"/>
                <w:lang w:eastAsia="nl-BE"/>
              </w:rPr>
              <w:t>2003-2004</w:t>
            </w:r>
            <w:r w:rsidRPr="00C173D5">
              <w:rPr>
                <w:rFonts w:eastAsia="Times New Roman" w:cstheme="minorHAnsi"/>
                <w:color w:val="3B3838" w:themeColor="background2" w:themeShade="4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BABC05D" w14:textId="77777777" w:rsidR="000D06BC" w:rsidRPr="00C173D5" w:rsidRDefault="000D06BC" w:rsidP="000D06BC">
            <w:pPr>
              <w:spacing w:after="0" w:line="240" w:lineRule="auto"/>
              <w:rPr>
                <w:rFonts w:eastAsia="Times New Roman" w:cstheme="minorHAnsi"/>
                <w:color w:val="3B3838" w:themeColor="background2" w:themeShade="40"/>
                <w:sz w:val="20"/>
                <w:szCs w:val="20"/>
                <w:lang w:eastAsia="nl-BE"/>
              </w:rPr>
            </w:pPr>
            <w:r w:rsidRPr="00C173D5">
              <w:rPr>
                <w:rFonts w:eastAsia="Times New Roman" w:cstheme="minorHAnsi"/>
                <w:color w:val="3B3838" w:themeColor="background2" w:themeShade="40"/>
                <w:sz w:val="20"/>
                <w:szCs w:val="20"/>
                <w:lang w:eastAsia="nl-BE"/>
              </w:rPr>
              <w:t>5,40%</w:t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6FF631C" w14:textId="77777777" w:rsidR="000D06BC" w:rsidRPr="00C173D5" w:rsidRDefault="000D06BC" w:rsidP="000D06BC">
            <w:pPr>
              <w:spacing w:after="0" w:line="240" w:lineRule="auto"/>
              <w:rPr>
                <w:rFonts w:eastAsia="Times New Roman" w:cstheme="minorHAnsi"/>
                <w:color w:val="3B3838" w:themeColor="background2" w:themeShade="40"/>
                <w:sz w:val="20"/>
                <w:szCs w:val="20"/>
                <w:lang w:eastAsia="nl-BE"/>
              </w:rPr>
            </w:pPr>
            <w:r w:rsidRPr="00C173D5">
              <w:rPr>
                <w:rFonts w:eastAsia="Times New Roman" w:cstheme="minorHAnsi"/>
                <w:color w:val="3B3838" w:themeColor="background2" w:themeShade="40"/>
                <w:sz w:val="20"/>
                <w:szCs w:val="20"/>
                <w:lang w:eastAsia="nl-BE"/>
              </w:rPr>
              <w:t> </w:t>
            </w:r>
          </w:p>
        </w:tc>
      </w:tr>
      <w:tr w:rsidR="00C173D5" w:rsidRPr="00C173D5" w14:paraId="5E6D884B" w14:textId="77777777" w:rsidTr="00FC768B">
        <w:trPr>
          <w:tblCellSpacing w:w="15" w:type="dxa"/>
        </w:trPr>
        <w:tc>
          <w:tcPr>
            <w:tcW w:w="1411" w:type="dxa"/>
            <w:tcBorders>
              <w:top w:val="nil"/>
              <w:left w:val="nil"/>
              <w:bottom w:val="nil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2121FB3" w14:textId="77777777" w:rsidR="000D06BC" w:rsidRPr="00C173D5" w:rsidRDefault="000D06BC" w:rsidP="000D06BC">
            <w:pPr>
              <w:spacing w:after="0" w:line="240" w:lineRule="auto"/>
              <w:rPr>
                <w:rFonts w:eastAsia="Times New Roman" w:cstheme="minorHAnsi"/>
                <w:color w:val="3B3838" w:themeColor="background2" w:themeShade="40"/>
                <w:sz w:val="20"/>
                <w:szCs w:val="20"/>
                <w:lang w:eastAsia="nl-BE"/>
              </w:rPr>
            </w:pPr>
            <w:r w:rsidRPr="00C173D5">
              <w:rPr>
                <w:rFonts w:eastAsia="Times New Roman" w:cstheme="minorHAnsi"/>
                <w:b/>
                <w:bCs/>
                <w:color w:val="3B3838" w:themeColor="background2" w:themeShade="40"/>
                <w:sz w:val="20"/>
                <w:szCs w:val="20"/>
                <w:lang w:eastAsia="nl-BE"/>
              </w:rPr>
              <w:t>2005-2006</w:t>
            </w:r>
            <w:r w:rsidRPr="00C173D5">
              <w:rPr>
                <w:rFonts w:eastAsia="Times New Roman" w:cstheme="minorHAnsi"/>
                <w:color w:val="3B3838" w:themeColor="background2" w:themeShade="4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C56E380" w14:textId="77777777" w:rsidR="000D06BC" w:rsidRPr="00C173D5" w:rsidRDefault="000D06BC" w:rsidP="000D06BC">
            <w:pPr>
              <w:spacing w:after="0" w:line="240" w:lineRule="auto"/>
              <w:rPr>
                <w:rFonts w:eastAsia="Times New Roman" w:cstheme="minorHAnsi"/>
                <w:color w:val="3B3838" w:themeColor="background2" w:themeShade="40"/>
                <w:sz w:val="20"/>
                <w:szCs w:val="20"/>
                <w:lang w:eastAsia="nl-BE"/>
              </w:rPr>
            </w:pPr>
            <w:r w:rsidRPr="00C173D5">
              <w:rPr>
                <w:rFonts w:eastAsia="Times New Roman" w:cstheme="minorHAnsi"/>
                <w:color w:val="3B3838" w:themeColor="background2" w:themeShade="40"/>
                <w:sz w:val="20"/>
                <w:szCs w:val="20"/>
                <w:lang w:eastAsia="nl-BE"/>
              </w:rPr>
              <w:t>4,50%</w:t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C629EA9" w14:textId="77777777" w:rsidR="000D06BC" w:rsidRPr="00C173D5" w:rsidRDefault="000D06BC" w:rsidP="000D06BC">
            <w:pPr>
              <w:spacing w:after="0" w:line="240" w:lineRule="auto"/>
              <w:rPr>
                <w:rFonts w:eastAsia="Times New Roman" w:cstheme="minorHAnsi"/>
                <w:color w:val="3B3838" w:themeColor="background2" w:themeShade="40"/>
                <w:sz w:val="20"/>
                <w:szCs w:val="20"/>
                <w:lang w:eastAsia="nl-BE"/>
              </w:rPr>
            </w:pPr>
            <w:r w:rsidRPr="00C173D5">
              <w:rPr>
                <w:rFonts w:eastAsia="Times New Roman" w:cstheme="minorHAnsi"/>
                <w:color w:val="3B3838" w:themeColor="background2" w:themeShade="40"/>
                <w:sz w:val="20"/>
                <w:szCs w:val="20"/>
                <w:lang w:eastAsia="nl-BE"/>
              </w:rPr>
              <w:t> </w:t>
            </w:r>
          </w:p>
        </w:tc>
      </w:tr>
      <w:tr w:rsidR="00C173D5" w:rsidRPr="00C173D5" w14:paraId="2BCBD2D0" w14:textId="77777777" w:rsidTr="00FC768B">
        <w:trPr>
          <w:tblCellSpacing w:w="15" w:type="dxa"/>
        </w:trPr>
        <w:tc>
          <w:tcPr>
            <w:tcW w:w="141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12895A" w14:textId="77777777" w:rsidR="000D06BC" w:rsidRPr="00C173D5" w:rsidRDefault="000D06BC" w:rsidP="000D06BC">
            <w:pPr>
              <w:spacing w:after="0" w:line="240" w:lineRule="auto"/>
              <w:rPr>
                <w:rFonts w:eastAsia="Times New Roman" w:cstheme="minorHAnsi"/>
                <w:color w:val="3B3838" w:themeColor="background2" w:themeShade="40"/>
                <w:sz w:val="20"/>
                <w:szCs w:val="20"/>
                <w:lang w:eastAsia="nl-BE"/>
              </w:rPr>
            </w:pPr>
            <w:r w:rsidRPr="00C173D5">
              <w:rPr>
                <w:rFonts w:eastAsia="Times New Roman" w:cstheme="minorHAnsi"/>
                <w:b/>
                <w:bCs/>
                <w:color w:val="3B3838" w:themeColor="background2" w:themeShade="40"/>
                <w:sz w:val="20"/>
                <w:szCs w:val="20"/>
                <w:lang w:eastAsia="nl-BE"/>
              </w:rPr>
              <w:t>2007-2008</w:t>
            </w:r>
            <w:r w:rsidRPr="00C173D5">
              <w:rPr>
                <w:rFonts w:eastAsia="Times New Roman" w:cstheme="minorHAnsi"/>
                <w:color w:val="3B3838" w:themeColor="background2" w:themeShade="4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12C0EF3" w14:textId="77777777" w:rsidR="000D06BC" w:rsidRPr="00C173D5" w:rsidRDefault="000D06BC" w:rsidP="000D06BC">
            <w:pPr>
              <w:spacing w:after="0" w:line="240" w:lineRule="auto"/>
              <w:rPr>
                <w:rFonts w:eastAsia="Times New Roman" w:cstheme="minorHAnsi"/>
                <w:color w:val="3B3838" w:themeColor="background2" w:themeShade="40"/>
                <w:sz w:val="20"/>
                <w:szCs w:val="20"/>
                <w:lang w:eastAsia="nl-BE"/>
              </w:rPr>
            </w:pPr>
            <w:r w:rsidRPr="00C173D5">
              <w:rPr>
                <w:rFonts w:eastAsia="Times New Roman" w:cstheme="minorHAnsi"/>
                <w:color w:val="3B3838" w:themeColor="background2" w:themeShade="40"/>
                <w:sz w:val="20"/>
                <w:szCs w:val="20"/>
                <w:lang w:eastAsia="nl-BE"/>
              </w:rPr>
              <w:t>5,00%</w:t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2463E2C" w14:textId="77777777" w:rsidR="000D06BC" w:rsidRPr="00C173D5" w:rsidRDefault="000D06BC" w:rsidP="000D06BC">
            <w:pPr>
              <w:spacing w:after="0" w:line="240" w:lineRule="auto"/>
              <w:rPr>
                <w:rFonts w:eastAsia="Times New Roman" w:cstheme="minorHAnsi"/>
                <w:color w:val="3B3838" w:themeColor="background2" w:themeShade="40"/>
                <w:sz w:val="20"/>
                <w:szCs w:val="20"/>
                <w:lang w:eastAsia="nl-BE"/>
              </w:rPr>
            </w:pPr>
            <w:r w:rsidRPr="00C173D5">
              <w:rPr>
                <w:rFonts w:eastAsia="Times New Roman" w:cstheme="minorHAnsi"/>
                <w:color w:val="3B3838" w:themeColor="background2" w:themeShade="40"/>
                <w:sz w:val="20"/>
                <w:szCs w:val="20"/>
                <w:lang w:eastAsia="nl-BE"/>
              </w:rPr>
              <w:t> </w:t>
            </w:r>
          </w:p>
        </w:tc>
      </w:tr>
      <w:tr w:rsidR="00C173D5" w:rsidRPr="00C173D5" w14:paraId="0E5375BD" w14:textId="77777777" w:rsidTr="00FC768B">
        <w:trPr>
          <w:tblCellSpacing w:w="15" w:type="dxa"/>
        </w:trPr>
        <w:tc>
          <w:tcPr>
            <w:tcW w:w="1411" w:type="dxa"/>
            <w:tcBorders>
              <w:top w:val="nil"/>
              <w:left w:val="nil"/>
              <w:bottom w:val="nil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56336B6" w14:textId="77777777" w:rsidR="000D06BC" w:rsidRPr="00C173D5" w:rsidRDefault="000D06BC" w:rsidP="000D06BC">
            <w:pPr>
              <w:spacing w:after="0" w:line="240" w:lineRule="auto"/>
              <w:rPr>
                <w:rFonts w:eastAsia="Times New Roman" w:cstheme="minorHAnsi"/>
                <w:color w:val="3B3838" w:themeColor="background2" w:themeShade="40"/>
                <w:sz w:val="20"/>
                <w:szCs w:val="20"/>
                <w:lang w:eastAsia="nl-BE"/>
              </w:rPr>
            </w:pPr>
            <w:r w:rsidRPr="00C173D5">
              <w:rPr>
                <w:rFonts w:eastAsia="Times New Roman" w:cstheme="minorHAnsi"/>
                <w:b/>
                <w:bCs/>
                <w:color w:val="3B3838" w:themeColor="background2" w:themeShade="40"/>
                <w:sz w:val="20"/>
                <w:szCs w:val="20"/>
                <w:lang w:eastAsia="nl-BE"/>
              </w:rPr>
              <w:t>2009-2010</w:t>
            </w:r>
            <w:r w:rsidRPr="00C173D5">
              <w:rPr>
                <w:rFonts w:eastAsia="Times New Roman" w:cstheme="minorHAnsi"/>
                <w:color w:val="3B3838" w:themeColor="background2" w:themeShade="4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A36CEB5" w14:textId="77777777" w:rsidR="000D06BC" w:rsidRPr="00C173D5" w:rsidRDefault="000D06BC" w:rsidP="000D06BC">
            <w:pPr>
              <w:spacing w:after="0" w:line="240" w:lineRule="auto"/>
              <w:rPr>
                <w:rFonts w:eastAsia="Times New Roman" w:cstheme="minorHAnsi"/>
                <w:color w:val="3B3838" w:themeColor="background2" w:themeShade="40"/>
                <w:sz w:val="20"/>
                <w:szCs w:val="20"/>
                <w:lang w:eastAsia="nl-BE"/>
              </w:rPr>
            </w:pPr>
            <w:r w:rsidRPr="00C173D5">
              <w:rPr>
                <w:rFonts w:eastAsia="Times New Roman" w:cstheme="minorHAnsi"/>
                <w:color w:val="3B3838" w:themeColor="background2" w:themeShade="40"/>
                <w:sz w:val="20"/>
                <w:szCs w:val="20"/>
                <w:lang w:eastAsia="nl-BE"/>
              </w:rPr>
              <w:t>250 euro</w:t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3A4A4CE" w14:textId="77777777" w:rsidR="000D06BC" w:rsidRPr="00C173D5" w:rsidRDefault="000D06BC" w:rsidP="000D06BC">
            <w:pPr>
              <w:spacing w:after="0" w:line="240" w:lineRule="auto"/>
              <w:rPr>
                <w:rFonts w:eastAsia="Times New Roman" w:cstheme="minorHAnsi"/>
                <w:color w:val="3B3838" w:themeColor="background2" w:themeShade="40"/>
                <w:sz w:val="20"/>
                <w:szCs w:val="20"/>
                <w:lang w:eastAsia="nl-BE"/>
              </w:rPr>
            </w:pPr>
            <w:r w:rsidRPr="00C173D5">
              <w:rPr>
                <w:rFonts w:eastAsia="Times New Roman" w:cstheme="minorHAnsi"/>
                <w:color w:val="3B3838" w:themeColor="background2" w:themeShade="40"/>
                <w:sz w:val="20"/>
                <w:szCs w:val="20"/>
                <w:lang w:eastAsia="nl-BE"/>
              </w:rPr>
              <w:t xml:space="preserve">Netto-enveloppe waarvan 125 euro kon worden toegekend in 2009; index en </w:t>
            </w:r>
            <w:proofErr w:type="spellStart"/>
            <w:r w:rsidRPr="00C173D5">
              <w:rPr>
                <w:rFonts w:eastAsia="Times New Roman" w:cstheme="minorHAnsi"/>
                <w:color w:val="3B3838" w:themeColor="background2" w:themeShade="40"/>
                <w:sz w:val="20"/>
                <w:szCs w:val="20"/>
                <w:lang w:eastAsia="nl-BE"/>
              </w:rPr>
              <w:t>baremieke</w:t>
            </w:r>
            <w:proofErr w:type="spellEnd"/>
            <w:r w:rsidRPr="00C173D5">
              <w:rPr>
                <w:rFonts w:eastAsia="Times New Roman" w:cstheme="minorHAnsi"/>
                <w:color w:val="3B3838" w:themeColor="background2" w:themeShade="40"/>
                <w:sz w:val="20"/>
                <w:szCs w:val="20"/>
                <w:lang w:eastAsia="nl-BE"/>
              </w:rPr>
              <w:t xml:space="preserve"> verhogingen waren steeds gewaarborgd.</w:t>
            </w:r>
          </w:p>
        </w:tc>
      </w:tr>
      <w:tr w:rsidR="00C173D5" w:rsidRPr="00C173D5" w14:paraId="2DE8D95A" w14:textId="77777777" w:rsidTr="00FC768B">
        <w:trPr>
          <w:tblCellSpacing w:w="15" w:type="dxa"/>
        </w:trPr>
        <w:tc>
          <w:tcPr>
            <w:tcW w:w="141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2D893BA" w14:textId="77777777" w:rsidR="000D06BC" w:rsidRPr="00C173D5" w:rsidRDefault="000D06BC" w:rsidP="000D06BC">
            <w:pPr>
              <w:spacing w:after="0" w:line="240" w:lineRule="auto"/>
              <w:rPr>
                <w:rFonts w:eastAsia="Times New Roman" w:cstheme="minorHAnsi"/>
                <w:color w:val="3B3838" w:themeColor="background2" w:themeShade="40"/>
                <w:sz w:val="20"/>
                <w:szCs w:val="20"/>
                <w:lang w:eastAsia="nl-BE"/>
              </w:rPr>
            </w:pPr>
            <w:r w:rsidRPr="00C173D5">
              <w:rPr>
                <w:rFonts w:eastAsia="Times New Roman" w:cstheme="minorHAnsi"/>
                <w:b/>
                <w:bCs/>
                <w:color w:val="3B3838" w:themeColor="background2" w:themeShade="40"/>
                <w:sz w:val="20"/>
                <w:szCs w:val="20"/>
                <w:lang w:eastAsia="nl-BE"/>
              </w:rPr>
              <w:t>2011-2012</w:t>
            </w:r>
            <w:r w:rsidRPr="00C173D5">
              <w:rPr>
                <w:rFonts w:eastAsia="Times New Roman" w:cstheme="minorHAnsi"/>
                <w:color w:val="3B3838" w:themeColor="background2" w:themeShade="4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9A805A9" w14:textId="77777777" w:rsidR="000D06BC" w:rsidRPr="00C173D5" w:rsidRDefault="000D06BC" w:rsidP="000D06BC">
            <w:pPr>
              <w:spacing w:after="0" w:line="240" w:lineRule="auto"/>
              <w:rPr>
                <w:rFonts w:eastAsia="Times New Roman" w:cstheme="minorHAnsi"/>
                <w:color w:val="3B3838" w:themeColor="background2" w:themeShade="40"/>
                <w:sz w:val="20"/>
                <w:szCs w:val="20"/>
                <w:lang w:eastAsia="nl-BE"/>
              </w:rPr>
            </w:pPr>
            <w:r w:rsidRPr="00C173D5">
              <w:rPr>
                <w:rFonts w:eastAsia="Times New Roman" w:cstheme="minorHAnsi"/>
                <w:color w:val="3B3838" w:themeColor="background2" w:themeShade="40"/>
                <w:sz w:val="20"/>
                <w:szCs w:val="20"/>
                <w:lang w:eastAsia="nl-BE"/>
              </w:rPr>
              <w:t>0,30%</w:t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DEDFBFB" w14:textId="77777777" w:rsidR="000D06BC" w:rsidRPr="00C173D5" w:rsidRDefault="000D06BC" w:rsidP="000D06BC">
            <w:pPr>
              <w:spacing w:after="0" w:line="240" w:lineRule="auto"/>
              <w:rPr>
                <w:rFonts w:eastAsia="Times New Roman" w:cstheme="minorHAnsi"/>
                <w:color w:val="3B3838" w:themeColor="background2" w:themeShade="40"/>
                <w:sz w:val="20"/>
                <w:szCs w:val="20"/>
                <w:lang w:eastAsia="nl-BE"/>
              </w:rPr>
            </w:pPr>
            <w:r w:rsidRPr="00C173D5">
              <w:rPr>
                <w:rFonts w:eastAsia="Times New Roman" w:cstheme="minorHAnsi"/>
                <w:color w:val="3B3838" w:themeColor="background2" w:themeShade="40"/>
                <w:sz w:val="20"/>
                <w:szCs w:val="20"/>
                <w:lang w:eastAsia="nl-BE"/>
              </w:rPr>
              <w:t xml:space="preserve">Waarvan 0,0% kon worden toegekend in 2011; index en </w:t>
            </w:r>
            <w:proofErr w:type="spellStart"/>
            <w:r w:rsidRPr="00C173D5">
              <w:rPr>
                <w:rFonts w:eastAsia="Times New Roman" w:cstheme="minorHAnsi"/>
                <w:color w:val="3B3838" w:themeColor="background2" w:themeShade="40"/>
                <w:sz w:val="20"/>
                <w:szCs w:val="20"/>
                <w:lang w:eastAsia="nl-BE"/>
              </w:rPr>
              <w:t>baremieke</w:t>
            </w:r>
            <w:proofErr w:type="spellEnd"/>
            <w:r w:rsidRPr="00C173D5">
              <w:rPr>
                <w:rFonts w:eastAsia="Times New Roman" w:cstheme="minorHAnsi"/>
                <w:color w:val="3B3838" w:themeColor="background2" w:themeShade="40"/>
                <w:sz w:val="20"/>
                <w:szCs w:val="20"/>
                <w:lang w:eastAsia="nl-BE"/>
              </w:rPr>
              <w:t xml:space="preserve"> verhogingen waren steeds gewaarborgd.</w:t>
            </w:r>
          </w:p>
        </w:tc>
      </w:tr>
      <w:tr w:rsidR="00C173D5" w:rsidRPr="00C173D5" w14:paraId="46308B5C" w14:textId="77777777" w:rsidTr="00FC768B">
        <w:trPr>
          <w:tblCellSpacing w:w="15" w:type="dxa"/>
        </w:trPr>
        <w:tc>
          <w:tcPr>
            <w:tcW w:w="1411" w:type="dxa"/>
            <w:tcBorders>
              <w:top w:val="nil"/>
              <w:left w:val="nil"/>
              <w:bottom w:val="nil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8E70D43" w14:textId="77777777" w:rsidR="000D06BC" w:rsidRPr="00C173D5" w:rsidRDefault="000D06BC" w:rsidP="000D06BC">
            <w:pPr>
              <w:spacing w:after="0" w:line="240" w:lineRule="auto"/>
              <w:rPr>
                <w:rFonts w:eastAsia="Times New Roman" w:cstheme="minorHAnsi"/>
                <w:color w:val="3B3838" w:themeColor="background2" w:themeShade="40"/>
                <w:sz w:val="20"/>
                <w:szCs w:val="20"/>
                <w:lang w:eastAsia="nl-BE"/>
              </w:rPr>
            </w:pPr>
            <w:r w:rsidRPr="00C173D5">
              <w:rPr>
                <w:rFonts w:eastAsia="Times New Roman" w:cstheme="minorHAnsi"/>
                <w:b/>
                <w:bCs/>
                <w:color w:val="3B3838" w:themeColor="background2" w:themeShade="40"/>
                <w:sz w:val="20"/>
                <w:szCs w:val="20"/>
                <w:lang w:eastAsia="nl-BE"/>
              </w:rPr>
              <w:t>2013-2014</w:t>
            </w:r>
            <w:r w:rsidRPr="00C173D5">
              <w:rPr>
                <w:rFonts w:eastAsia="Times New Roman" w:cstheme="minorHAnsi"/>
                <w:color w:val="3B3838" w:themeColor="background2" w:themeShade="4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2F4ACB1" w14:textId="77777777" w:rsidR="000D06BC" w:rsidRPr="00C173D5" w:rsidRDefault="000D06BC" w:rsidP="000D06BC">
            <w:pPr>
              <w:spacing w:after="0" w:line="240" w:lineRule="auto"/>
              <w:rPr>
                <w:rFonts w:eastAsia="Times New Roman" w:cstheme="minorHAnsi"/>
                <w:color w:val="3B3838" w:themeColor="background2" w:themeShade="40"/>
                <w:sz w:val="20"/>
                <w:szCs w:val="20"/>
                <w:lang w:eastAsia="nl-BE"/>
              </w:rPr>
            </w:pPr>
            <w:r w:rsidRPr="00C173D5">
              <w:rPr>
                <w:rFonts w:eastAsia="Times New Roman" w:cstheme="minorHAnsi"/>
                <w:color w:val="3B3838" w:themeColor="background2" w:themeShade="40"/>
                <w:sz w:val="20"/>
                <w:szCs w:val="20"/>
                <w:lang w:eastAsia="nl-BE"/>
              </w:rPr>
              <w:t>0,00%</w:t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F91C49C" w14:textId="77777777" w:rsidR="000D06BC" w:rsidRPr="00C173D5" w:rsidRDefault="000D06BC" w:rsidP="000D06BC">
            <w:pPr>
              <w:spacing w:after="0" w:line="240" w:lineRule="auto"/>
              <w:rPr>
                <w:rFonts w:eastAsia="Times New Roman" w:cstheme="minorHAnsi"/>
                <w:color w:val="3B3838" w:themeColor="background2" w:themeShade="40"/>
                <w:sz w:val="20"/>
                <w:szCs w:val="20"/>
                <w:lang w:eastAsia="nl-BE"/>
              </w:rPr>
            </w:pPr>
            <w:r w:rsidRPr="00C173D5">
              <w:rPr>
                <w:rFonts w:eastAsia="Times New Roman" w:cstheme="minorHAnsi"/>
                <w:color w:val="3B3838" w:themeColor="background2" w:themeShade="40"/>
                <w:sz w:val="20"/>
                <w:szCs w:val="20"/>
                <w:lang w:eastAsia="nl-BE"/>
              </w:rPr>
              <w:t xml:space="preserve">Index en </w:t>
            </w:r>
            <w:proofErr w:type="spellStart"/>
            <w:r w:rsidRPr="00C173D5">
              <w:rPr>
                <w:rFonts w:eastAsia="Times New Roman" w:cstheme="minorHAnsi"/>
                <w:color w:val="3B3838" w:themeColor="background2" w:themeShade="40"/>
                <w:sz w:val="20"/>
                <w:szCs w:val="20"/>
                <w:lang w:eastAsia="nl-BE"/>
              </w:rPr>
              <w:t>baremieke</w:t>
            </w:r>
            <w:proofErr w:type="spellEnd"/>
            <w:r w:rsidRPr="00C173D5">
              <w:rPr>
                <w:rFonts w:eastAsia="Times New Roman" w:cstheme="minorHAnsi"/>
                <w:color w:val="3B3838" w:themeColor="background2" w:themeShade="40"/>
                <w:sz w:val="20"/>
                <w:szCs w:val="20"/>
                <w:lang w:eastAsia="nl-BE"/>
              </w:rPr>
              <w:t xml:space="preserve"> verhogingen waren steeds gewaarborgd.</w:t>
            </w:r>
          </w:p>
        </w:tc>
      </w:tr>
      <w:tr w:rsidR="00C173D5" w:rsidRPr="00C173D5" w14:paraId="3C1921B6" w14:textId="77777777" w:rsidTr="00FC768B">
        <w:trPr>
          <w:tblCellSpacing w:w="15" w:type="dxa"/>
        </w:trPr>
        <w:tc>
          <w:tcPr>
            <w:tcW w:w="141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F5F1778" w14:textId="77777777" w:rsidR="000D06BC" w:rsidRPr="00C173D5" w:rsidRDefault="000D06BC" w:rsidP="000D06BC">
            <w:pPr>
              <w:spacing w:after="0" w:line="240" w:lineRule="auto"/>
              <w:rPr>
                <w:rFonts w:eastAsia="Times New Roman" w:cstheme="minorHAnsi"/>
                <w:color w:val="3B3838" w:themeColor="background2" w:themeShade="40"/>
                <w:sz w:val="20"/>
                <w:szCs w:val="20"/>
                <w:lang w:eastAsia="nl-BE"/>
              </w:rPr>
            </w:pPr>
            <w:r w:rsidRPr="00C173D5">
              <w:rPr>
                <w:rFonts w:eastAsia="Times New Roman" w:cstheme="minorHAnsi"/>
                <w:b/>
                <w:bCs/>
                <w:color w:val="3B3838" w:themeColor="background2" w:themeShade="40"/>
                <w:sz w:val="20"/>
                <w:szCs w:val="20"/>
                <w:lang w:eastAsia="nl-BE"/>
              </w:rPr>
              <w:t>2015-2016</w:t>
            </w:r>
            <w:r w:rsidRPr="00C173D5">
              <w:rPr>
                <w:rFonts w:eastAsia="Times New Roman" w:cstheme="minorHAnsi"/>
                <w:color w:val="3B3838" w:themeColor="background2" w:themeShade="4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E1448A3" w14:textId="77777777" w:rsidR="000D06BC" w:rsidRPr="00C173D5" w:rsidRDefault="000D06BC" w:rsidP="000D06BC">
            <w:pPr>
              <w:spacing w:after="0" w:line="240" w:lineRule="auto"/>
              <w:rPr>
                <w:rFonts w:eastAsia="Times New Roman" w:cstheme="minorHAnsi"/>
                <w:color w:val="3B3838" w:themeColor="background2" w:themeShade="40"/>
                <w:sz w:val="20"/>
                <w:szCs w:val="20"/>
                <w:lang w:eastAsia="nl-BE"/>
              </w:rPr>
            </w:pPr>
            <w:r w:rsidRPr="00C173D5">
              <w:rPr>
                <w:rFonts w:eastAsia="Times New Roman" w:cstheme="minorHAnsi"/>
                <w:color w:val="3B3838" w:themeColor="background2" w:themeShade="40"/>
                <w:sz w:val="20"/>
                <w:szCs w:val="20"/>
                <w:lang w:eastAsia="nl-BE"/>
              </w:rPr>
              <w:t>0,5% + 0,3%</w:t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B335A39" w14:textId="77777777" w:rsidR="000D06BC" w:rsidRPr="00C173D5" w:rsidRDefault="000D06BC" w:rsidP="000D06BC">
            <w:pPr>
              <w:spacing w:after="0" w:line="240" w:lineRule="auto"/>
              <w:rPr>
                <w:rFonts w:eastAsia="Times New Roman" w:cstheme="minorHAnsi"/>
                <w:color w:val="3B3838" w:themeColor="background2" w:themeShade="40"/>
                <w:sz w:val="20"/>
                <w:szCs w:val="20"/>
                <w:lang w:eastAsia="nl-BE"/>
              </w:rPr>
            </w:pPr>
            <w:r w:rsidRPr="00C173D5">
              <w:rPr>
                <w:rFonts w:eastAsia="Times New Roman" w:cstheme="minorHAnsi"/>
                <w:color w:val="3B3838" w:themeColor="background2" w:themeShade="40"/>
                <w:sz w:val="20"/>
                <w:szCs w:val="20"/>
                <w:lang w:eastAsia="nl-BE"/>
              </w:rPr>
              <w:t xml:space="preserve">Waarvan 0,0% kan worden toegekend in 2015; 0,5% van de brutoloonmassa met alle lasten inbegrepen; 0,3% van de loonmassa in netto zonder bijkomende kosten in 2016; index en </w:t>
            </w:r>
            <w:proofErr w:type="spellStart"/>
            <w:r w:rsidRPr="00C173D5">
              <w:rPr>
                <w:rFonts w:eastAsia="Times New Roman" w:cstheme="minorHAnsi"/>
                <w:color w:val="3B3838" w:themeColor="background2" w:themeShade="40"/>
                <w:sz w:val="20"/>
                <w:szCs w:val="20"/>
                <w:lang w:eastAsia="nl-BE"/>
              </w:rPr>
              <w:t>baremieke</w:t>
            </w:r>
            <w:proofErr w:type="spellEnd"/>
            <w:r w:rsidRPr="00C173D5">
              <w:rPr>
                <w:rFonts w:eastAsia="Times New Roman" w:cstheme="minorHAnsi"/>
                <w:color w:val="3B3838" w:themeColor="background2" w:themeShade="40"/>
                <w:sz w:val="20"/>
                <w:szCs w:val="20"/>
                <w:lang w:eastAsia="nl-BE"/>
              </w:rPr>
              <w:t xml:space="preserve"> verhogingen zijn steeds gewaarborgd.</w:t>
            </w:r>
          </w:p>
        </w:tc>
      </w:tr>
      <w:tr w:rsidR="00C173D5" w:rsidRPr="00C173D5" w14:paraId="5BFF64F9" w14:textId="77777777" w:rsidTr="00FC768B">
        <w:trPr>
          <w:tblCellSpacing w:w="15" w:type="dxa"/>
        </w:trPr>
        <w:tc>
          <w:tcPr>
            <w:tcW w:w="1411" w:type="dxa"/>
            <w:tcBorders>
              <w:top w:val="nil"/>
              <w:left w:val="nil"/>
              <w:bottom w:val="nil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2F1743" w14:textId="77777777" w:rsidR="000D06BC" w:rsidRPr="00C173D5" w:rsidRDefault="000D06BC" w:rsidP="000D06BC">
            <w:pPr>
              <w:spacing w:after="0" w:line="240" w:lineRule="auto"/>
              <w:rPr>
                <w:rFonts w:eastAsia="Times New Roman" w:cstheme="minorHAnsi"/>
                <w:color w:val="3B3838" w:themeColor="background2" w:themeShade="40"/>
                <w:sz w:val="20"/>
                <w:szCs w:val="20"/>
                <w:lang w:eastAsia="nl-BE"/>
              </w:rPr>
            </w:pPr>
            <w:r w:rsidRPr="00C173D5">
              <w:rPr>
                <w:rFonts w:eastAsia="Times New Roman" w:cstheme="minorHAnsi"/>
                <w:b/>
                <w:bCs/>
                <w:color w:val="3B3838" w:themeColor="background2" w:themeShade="40"/>
                <w:sz w:val="20"/>
                <w:szCs w:val="20"/>
                <w:lang w:eastAsia="nl-BE"/>
              </w:rPr>
              <w:t>2017-2018</w:t>
            </w:r>
            <w:r w:rsidRPr="00C173D5">
              <w:rPr>
                <w:rFonts w:eastAsia="Times New Roman" w:cstheme="minorHAnsi"/>
                <w:color w:val="3B3838" w:themeColor="background2" w:themeShade="4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89C3E81" w14:textId="77777777" w:rsidR="000D06BC" w:rsidRPr="00C173D5" w:rsidRDefault="000D06BC" w:rsidP="000D06BC">
            <w:pPr>
              <w:spacing w:after="0" w:line="240" w:lineRule="auto"/>
              <w:rPr>
                <w:rFonts w:eastAsia="Times New Roman" w:cstheme="minorHAnsi"/>
                <w:color w:val="3B3838" w:themeColor="background2" w:themeShade="40"/>
                <w:sz w:val="20"/>
                <w:szCs w:val="20"/>
                <w:lang w:eastAsia="nl-BE"/>
              </w:rPr>
            </w:pPr>
            <w:r w:rsidRPr="00C173D5">
              <w:rPr>
                <w:rFonts w:eastAsia="Times New Roman" w:cstheme="minorHAnsi"/>
                <w:color w:val="3B3838" w:themeColor="background2" w:themeShade="40"/>
                <w:sz w:val="20"/>
                <w:szCs w:val="20"/>
                <w:lang w:eastAsia="nl-BE"/>
              </w:rPr>
              <w:t>1,1%</w:t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D16BA8C" w14:textId="77777777" w:rsidR="000D06BC" w:rsidRPr="00C173D5" w:rsidRDefault="000D06BC" w:rsidP="000D06BC">
            <w:pPr>
              <w:spacing w:after="0" w:line="240" w:lineRule="auto"/>
              <w:rPr>
                <w:rFonts w:eastAsia="Times New Roman" w:cstheme="minorHAnsi"/>
                <w:color w:val="3B3838" w:themeColor="background2" w:themeShade="40"/>
                <w:sz w:val="20"/>
                <w:szCs w:val="20"/>
                <w:lang w:eastAsia="nl-BE"/>
              </w:rPr>
            </w:pPr>
            <w:r w:rsidRPr="00C173D5">
              <w:rPr>
                <w:rFonts w:eastAsia="Times New Roman" w:cstheme="minorHAnsi"/>
                <w:color w:val="3B3838" w:themeColor="background2" w:themeShade="40"/>
                <w:sz w:val="20"/>
                <w:szCs w:val="20"/>
                <w:lang w:eastAsia="nl-BE"/>
              </w:rPr>
              <w:t xml:space="preserve">Index en </w:t>
            </w:r>
            <w:proofErr w:type="spellStart"/>
            <w:r w:rsidRPr="00C173D5">
              <w:rPr>
                <w:rFonts w:eastAsia="Times New Roman" w:cstheme="minorHAnsi"/>
                <w:color w:val="3B3838" w:themeColor="background2" w:themeShade="40"/>
                <w:sz w:val="20"/>
                <w:szCs w:val="20"/>
                <w:lang w:eastAsia="nl-BE"/>
              </w:rPr>
              <w:t>baremieke</w:t>
            </w:r>
            <w:proofErr w:type="spellEnd"/>
            <w:r w:rsidRPr="00C173D5">
              <w:rPr>
                <w:rFonts w:eastAsia="Times New Roman" w:cstheme="minorHAnsi"/>
                <w:color w:val="3B3838" w:themeColor="background2" w:themeShade="40"/>
                <w:sz w:val="20"/>
                <w:szCs w:val="20"/>
                <w:lang w:eastAsia="nl-BE"/>
              </w:rPr>
              <w:t xml:space="preserve"> verhogingen zijn steeds gewaarborgd.</w:t>
            </w:r>
          </w:p>
        </w:tc>
      </w:tr>
      <w:tr w:rsidR="000D06BC" w:rsidRPr="00C173D5" w14:paraId="5D9B9216" w14:textId="77777777" w:rsidTr="00FC768B">
        <w:trPr>
          <w:tblCellSpacing w:w="15" w:type="dxa"/>
        </w:trPr>
        <w:tc>
          <w:tcPr>
            <w:tcW w:w="141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FD195AC" w14:textId="77777777" w:rsidR="000D06BC" w:rsidRPr="00C173D5" w:rsidRDefault="000D06BC" w:rsidP="000D06BC">
            <w:pPr>
              <w:spacing w:after="0" w:line="240" w:lineRule="auto"/>
              <w:rPr>
                <w:rFonts w:eastAsia="Times New Roman" w:cstheme="minorHAnsi"/>
                <w:color w:val="3B3838" w:themeColor="background2" w:themeShade="40"/>
                <w:sz w:val="20"/>
                <w:szCs w:val="20"/>
                <w:lang w:eastAsia="nl-BE"/>
              </w:rPr>
            </w:pPr>
            <w:r w:rsidRPr="00C173D5">
              <w:rPr>
                <w:rFonts w:eastAsia="Times New Roman" w:cstheme="minorHAnsi"/>
                <w:b/>
                <w:bCs/>
                <w:color w:val="3B3838" w:themeColor="background2" w:themeShade="40"/>
                <w:sz w:val="20"/>
                <w:szCs w:val="20"/>
                <w:lang w:eastAsia="nl-BE"/>
              </w:rPr>
              <w:t>2019-2020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667D2EE" w14:textId="77777777" w:rsidR="000D06BC" w:rsidRPr="00C173D5" w:rsidRDefault="000D06BC" w:rsidP="000D06BC">
            <w:pPr>
              <w:spacing w:after="0" w:line="240" w:lineRule="auto"/>
              <w:rPr>
                <w:rFonts w:eastAsia="Times New Roman" w:cstheme="minorHAnsi"/>
                <w:color w:val="3B3838" w:themeColor="background2" w:themeShade="40"/>
                <w:sz w:val="20"/>
                <w:szCs w:val="20"/>
                <w:lang w:eastAsia="nl-BE"/>
              </w:rPr>
            </w:pPr>
            <w:r w:rsidRPr="00C173D5">
              <w:rPr>
                <w:rFonts w:eastAsia="Times New Roman" w:cstheme="minorHAnsi"/>
                <w:color w:val="3B3838" w:themeColor="background2" w:themeShade="40"/>
                <w:sz w:val="20"/>
                <w:szCs w:val="20"/>
                <w:lang w:eastAsia="nl-BE"/>
              </w:rPr>
              <w:t>1,1%</w:t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813E095" w14:textId="77777777" w:rsidR="000D06BC" w:rsidRPr="00C173D5" w:rsidRDefault="000D06BC" w:rsidP="000D06BC">
            <w:pPr>
              <w:spacing w:after="0" w:line="240" w:lineRule="auto"/>
              <w:rPr>
                <w:rFonts w:eastAsia="Times New Roman" w:cstheme="minorHAnsi"/>
                <w:color w:val="3B3838" w:themeColor="background2" w:themeShade="40"/>
                <w:sz w:val="20"/>
                <w:szCs w:val="20"/>
                <w:lang w:eastAsia="nl-BE"/>
              </w:rPr>
            </w:pPr>
            <w:r w:rsidRPr="00C173D5">
              <w:rPr>
                <w:rFonts w:eastAsia="Times New Roman" w:cstheme="minorHAnsi"/>
                <w:color w:val="3B3838" w:themeColor="background2" w:themeShade="40"/>
                <w:sz w:val="20"/>
                <w:szCs w:val="20"/>
                <w:lang w:eastAsia="nl-BE"/>
              </w:rPr>
              <w:t xml:space="preserve">Index en </w:t>
            </w:r>
            <w:proofErr w:type="spellStart"/>
            <w:r w:rsidRPr="00C173D5">
              <w:rPr>
                <w:rFonts w:eastAsia="Times New Roman" w:cstheme="minorHAnsi"/>
                <w:color w:val="3B3838" w:themeColor="background2" w:themeShade="40"/>
                <w:sz w:val="20"/>
                <w:szCs w:val="20"/>
                <w:lang w:eastAsia="nl-BE"/>
              </w:rPr>
              <w:t>baremieke</w:t>
            </w:r>
            <w:proofErr w:type="spellEnd"/>
            <w:r w:rsidRPr="00C173D5">
              <w:rPr>
                <w:rFonts w:eastAsia="Times New Roman" w:cstheme="minorHAnsi"/>
                <w:color w:val="3B3838" w:themeColor="background2" w:themeShade="40"/>
                <w:sz w:val="20"/>
                <w:szCs w:val="20"/>
                <w:lang w:eastAsia="nl-BE"/>
              </w:rPr>
              <w:t xml:space="preserve"> verhogingen zijn steeds gewaarborgd.</w:t>
            </w:r>
          </w:p>
        </w:tc>
      </w:tr>
    </w:tbl>
    <w:p w14:paraId="6A6537DF" w14:textId="38F0F3FB" w:rsidR="000D06BC" w:rsidRPr="00C173D5" w:rsidRDefault="000D06BC" w:rsidP="000D06BC">
      <w:pPr>
        <w:rPr>
          <w:color w:val="3B3838" w:themeColor="background2" w:themeShade="40"/>
          <w:lang w:val="nl-NL"/>
        </w:rPr>
      </w:pPr>
    </w:p>
    <w:p w14:paraId="0ECCB7F5" w14:textId="101A00D3" w:rsidR="000D06BC" w:rsidRPr="00C173D5" w:rsidRDefault="00E52062" w:rsidP="000D06BC">
      <w:pPr>
        <w:rPr>
          <w:color w:val="3B3838" w:themeColor="background2" w:themeShade="40"/>
          <w:lang w:val="nl-NL"/>
        </w:rPr>
      </w:pPr>
      <w:r w:rsidRPr="00C173D5">
        <w:rPr>
          <w:color w:val="3B3838" w:themeColor="background2" w:themeShade="40"/>
          <w:lang w:val="nl-NL"/>
        </w:rPr>
        <w:t>In andere Federale sectoren werden er gesprekken over een herwaardering van de weddeschalen opgestart en werd er zelfs reeds een voorakkoord afgesloten. A</w:t>
      </w:r>
      <w:r w:rsidR="00267076" w:rsidRPr="00C173D5">
        <w:rPr>
          <w:color w:val="3B3838" w:themeColor="background2" w:themeShade="40"/>
          <w:lang w:val="nl-NL"/>
        </w:rPr>
        <w:t xml:space="preserve">ls </w:t>
      </w:r>
      <w:r w:rsidRPr="00C173D5">
        <w:rPr>
          <w:color w:val="3B3838" w:themeColor="background2" w:themeShade="40"/>
          <w:lang w:val="nl-NL"/>
        </w:rPr>
        <w:t>F</w:t>
      </w:r>
      <w:r w:rsidR="00267076" w:rsidRPr="00C173D5">
        <w:rPr>
          <w:color w:val="3B3838" w:themeColor="background2" w:themeShade="40"/>
          <w:lang w:val="nl-NL"/>
        </w:rPr>
        <w:t xml:space="preserve">ederaal ambtenaar </w:t>
      </w:r>
      <w:r w:rsidRPr="00C173D5">
        <w:rPr>
          <w:color w:val="3B3838" w:themeColor="background2" w:themeShade="40"/>
          <w:lang w:val="nl-NL"/>
        </w:rPr>
        <w:t xml:space="preserve">blijf ik echter </w:t>
      </w:r>
      <w:r w:rsidR="00267076" w:rsidRPr="00C173D5">
        <w:rPr>
          <w:color w:val="3B3838" w:themeColor="background2" w:themeShade="40"/>
          <w:lang w:val="nl-NL"/>
        </w:rPr>
        <w:t>op mijn</w:t>
      </w:r>
      <w:r w:rsidR="00110601" w:rsidRPr="00C173D5">
        <w:rPr>
          <w:color w:val="3B3838" w:themeColor="background2" w:themeShade="40"/>
          <w:lang w:val="nl-NL"/>
        </w:rPr>
        <w:t xml:space="preserve"> honger zitten.</w:t>
      </w:r>
    </w:p>
    <w:p w14:paraId="163FB822" w14:textId="5DAEA7B5" w:rsidR="000D06BC" w:rsidRPr="00C173D5" w:rsidRDefault="00D77B06" w:rsidP="000D06BC">
      <w:pPr>
        <w:rPr>
          <w:color w:val="3B3838" w:themeColor="background2" w:themeShade="40"/>
          <w:lang w:val="nl-NL"/>
        </w:rPr>
      </w:pPr>
      <w:r w:rsidRPr="00C173D5">
        <w:rPr>
          <w:color w:val="3B3838" w:themeColor="background2" w:themeShade="40"/>
          <w:lang w:val="nl-NL"/>
        </w:rPr>
        <w:t>Ik vraag</w:t>
      </w:r>
      <w:r w:rsidR="000D06BC" w:rsidRPr="00C173D5">
        <w:rPr>
          <w:color w:val="3B3838" w:themeColor="background2" w:themeShade="40"/>
          <w:lang w:val="nl-NL"/>
        </w:rPr>
        <w:t xml:space="preserve"> u dan </w:t>
      </w:r>
      <w:r w:rsidR="002D38B1">
        <w:rPr>
          <w:color w:val="3B3838" w:themeColor="background2" w:themeShade="40"/>
          <w:lang w:val="nl-NL"/>
        </w:rPr>
        <w:t xml:space="preserve">ook </w:t>
      </w:r>
      <w:r w:rsidR="000D06BC" w:rsidRPr="00C173D5">
        <w:rPr>
          <w:color w:val="3B3838" w:themeColor="background2" w:themeShade="40"/>
          <w:lang w:val="nl-NL"/>
        </w:rPr>
        <w:t xml:space="preserve">uitdrukkelijk om </w:t>
      </w:r>
      <w:r w:rsidR="00110601" w:rsidRPr="00C173D5">
        <w:rPr>
          <w:color w:val="3B3838" w:themeColor="background2" w:themeShade="40"/>
          <w:lang w:val="nl-NL"/>
        </w:rPr>
        <w:t xml:space="preserve">hier </w:t>
      </w:r>
      <w:r w:rsidR="000D06BC" w:rsidRPr="00C173D5">
        <w:rPr>
          <w:color w:val="3B3838" w:themeColor="background2" w:themeShade="40"/>
          <w:lang w:val="nl-NL"/>
        </w:rPr>
        <w:t>tijdens komende begrotingscontrole rekening mee te willen houden door voldoende budgettaire ruimte t</w:t>
      </w:r>
      <w:r w:rsidR="00110601" w:rsidRPr="00C173D5">
        <w:rPr>
          <w:color w:val="3B3838" w:themeColor="background2" w:themeShade="40"/>
          <w:lang w:val="nl-NL"/>
        </w:rPr>
        <w:t>e laten</w:t>
      </w:r>
      <w:r w:rsidR="000D06BC" w:rsidRPr="00C173D5">
        <w:rPr>
          <w:color w:val="3B3838" w:themeColor="background2" w:themeShade="40"/>
          <w:lang w:val="nl-NL"/>
        </w:rPr>
        <w:t xml:space="preserve"> om via de gesprekken </w:t>
      </w:r>
      <w:r w:rsidR="00CF23E8" w:rsidRPr="00C173D5">
        <w:rPr>
          <w:color w:val="3B3838" w:themeColor="background2" w:themeShade="40"/>
          <w:lang w:val="nl-NL"/>
        </w:rPr>
        <w:t>over</w:t>
      </w:r>
      <w:r w:rsidR="000D06BC" w:rsidRPr="00C173D5">
        <w:rPr>
          <w:color w:val="3B3838" w:themeColor="background2" w:themeShade="40"/>
          <w:lang w:val="nl-NL"/>
        </w:rPr>
        <w:t xml:space="preserve"> een nieuw sectoraal akkoord een significante herwaardering van de koopkracht van de federale ambtenaren mogelijk te maken.</w:t>
      </w:r>
    </w:p>
    <w:p w14:paraId="21D8E6FF" w14:textId="502A03A1" w:rsidR="000D06BC" w:rsidRPr="00C173D5" w:rsidRDefault="000D06BC" w:rsidP="000D06BC">
      <w:pPr>
        <w:rPr>
          <w:color w:val="3B3838" w:themeColor="background2" w:themeShade="40"/>
          <w:lang w:val="nl-NL"/>
        </w:rPr>
      </w:pPr>
      <w:r w:rsidRPr="00C173D5">
        <w:rPr>
          <w:color w:val="3B3838" w:themeColor="background2" w:themeShade="40"/>
          <w:lang w:val="nl-NL"/>
        </w:rPr>
        <w:t>Tijdens de budgettaire controle wi</w:t>
      </w:r>
      <w:r w:rsidR="00A83A7A" w:rsidRPr="00C173D5">
        <w:rPr>
          <w:color w:val="3B3838" w:themeColor="background2" w:themeShade="40"/>
          <w:lang w:val="nl-NL"/>
        </w:rPr>
        <w:t>l</w:t>
      </w:r>
      <w:r w:rsidRPr="00C173D5">
        <w:rPr>
          <w:color w:val="3B3838" w:themeColor="background2" w:themeShade="40"/>
          <w:lang w:val="nl-NL"/>
        </w:rPr>
        <w:t xml:space="preserve"> </w:t>
      </w:r>
      <w:r w:rsidR="00F36C1B" w:rsidRPr="00C173D5">
        <w:rPr>
          <w:color w:val="3B3838" w:themeColor="background2" w:themeShade="40"/>
          <w:lang w:val="nl-NL"/>
        </w:rPr>
        <w:t xml:space="preserve">ik </w:t>
      </w:r>
      <w:r w:rsidRPr="00C173D5">
        <w:rPr>
          <w:color w:val="3B3838" w:themeColor="background2" w:themeShade="40"/>
          <w:lang w:val="nl-NL"/>
        </w:rPr>
        <w:t xml:space="preserve">u ook vragen ruimte te voorzien om de inzet van de </w:t>
      </w:r>
      <w:r w:rsidR="00CF23E8" w:rsidRPr="00C173D5">
        <w:rPr>
          <w:color w:val="3B3838" w:themeColor="background2" w:themeShade="40"/>
          <w:lang w:val="nl-NL"/>
        </w:rPr>
        <w:t>F</w:t>
      </w:r>
      <w:r w:rsidRPr="00C173D5">
        <w:rPr>
          <w:color w:val="3B3838" w:themeColor="background2" w:themeShade="40"/>
          <w:lang w:val="nl-NL"/>
        </w:rPr>
        <w:t xml:space="preserve">ederale ambtenaren tijdens de COVID-crisis te waarderen. Tijdens deze crisis heeft het Federaal Openbaar Ambt bewezen een essentiële sector </w:t>
      </w:r>
      <w:r w:rsidR="00110601" w:rsidRPr="00C173D5">
        <w:rPr>
          <w:color w:val="3B3838" w:themeColor="background2" w:themeShade="40"/>
          <w:lang w:val="nl-NL"/>
        </w:rPr>
        <w:t>te zijn</w:t>
      </w:r>
      <w:r w:rsidRPr="00C173D5">
        <w:rPr>
          <w:color w:val="3B3838" w:themeColor="background2" w:themeShade="40"/>
          <w:lang w:val="nl-NL"/>
        </w:rPr>
        <w:t>, maar een essenti</w:t>
      </w:r>
      <w:r w:rsidR="00FD6A12" w:rsidRPr="00C173D5">
        <w:rPr>
          <w:color w:val="3B3838" w:themeColor="background2" w:themeShade="40"/>
          <w:lang w:val="nl-NL"/>
        </w:rPr>
        <w:t>ë</w:t>
      </w:r>
      <w:r w:rsidRPr="00C173D5">
        <w:rPr>
          <w:color w:val="3B3838" w:themeColor="background2" w:themeShade="40"/>
          <w:lang w:val="nl-NL"/>
        </w:rPr>
        <w:t xml:space="preserve">le sector waar het personeel geen </w:t>
      </w:r>
      <w:r w:rsidRPr="00C173D5">
        <w:rPr>
          <w:color w:val="3B3838" w:themeColor="background2" w:themeShade="40"/>
          <w:lang w:val="nl-NL"/>
        </w:rPr>
        <w:lastRenderedPageBreak/>
        <w:t>zogenaamde coronapremie gekregen heeft, geen corona consumptiecheques gekregen heeft, waar het personeel van het militair hospitaal geen aanmoedigingspremie gekregen heeft,…</w:t>
      </w:r>
    </w:p>
    <w:p w14:paraId="35666EFF" w14:textId="271DD33E" w:rsidR="00DD3623" w:rsidRPr="00C173D5" w:rsidRDefault="000D06BC" w:rsidP="000D06BC">
      <w:pPr>
        <w:rPr>
          <w:color w:val="3B3838" w:themeColor="background2" w:themeShade="40"/>
          <w:lang w:val="nl-NL"/>
        </w:rPr>
      </w:pPr>
      <w:r w:rsidRPr="00C173D5">
        <w:rPr>
          <w:color w:val="3B3838" w:themeColor="background2" w:themeShade="40"/>
          <w:lang w:val="nl-NL"/>
        </w:rPr>
        <w:t xml:space="preserve">Ook hier </w:t>
      </w:r>
      <w:r w:rsidR="002D38B1">
        <w:rPr>
          <w:color w:val="3B3838" w:themeColor="background2" w:themeShade="40"/>
          <w:lang w:val="nl-NL"/>
        </w:rPr>
        <w:t>vraag</w:t>
      </w:r>
      <w:r w:rsidRPr="00C173D5">
        <w:rPr>
          <w:color w:val="3B3838" w:themeColor="background2" w:themeShade="40"/>
          <w:lang w:val="nl-NL"/>
        </w:rPr>
        <w:t xml:space="preserve"> </w:t>
      </w:r>
      <w:r w:rsidR="001A070D" w:rsidRPr="00C173D5">
        <w:rPr>
          <w:color w:val="3B3838" w:themeColor="background2" w:themeShade="40"/>
          <w:lang w:val="nl-NL"/>
        </w:rPr>
        <w:t>ik</w:t>
      </w:r>
      <w:r w:rsidRPr="00C173D5">
        <w:rPr>
          <w:color w:val="3B3838" w:themeColor="background2" w:themeShade="40"/>
          <w:lang w:val="nl-NL"/>
        </w:rPr>
        <w:t xml:space="preserve"> u om tijdens de budgettaire controle </w:t>
      </w:r>
      <w:r w:rsidR="00DD3623" w:rsidRPr="00C173D5">
        <w:rPr>
          <w:color w:val="3B3838" w:themeColor="background2" w:themeShade="40"/>
          <w:lang w:val="nl-NL"/>
        </w:rPr>
        <w:t xml:space="preserve">de daad bij het woord van uw waardering te zetten en een budget toe te kennen </w:t>
      </w:r>
      <w:r w:rsidR="002D38B1">
        <w:rPr>
          <w:color w:val="3B3838" w:themeColor="background2" w:themeShade="40"/>
          <w:lang w:val="nl-NL"/>
        </w:rPr>
        <w:t>dat</w:t>
      </w:r>
      <w:r w:rsidR="00DD3623" w:rsidRPr="00C173D5">
        <w:rPr>
          <w:color w:val="3B3838" w:themeColor="background2" w:themeShade="40"/>
          <w:lang w:val="nl-NL"/>
        </w:rPr>
        <w:t xml:space="preserve"> via het sociaal overleg kan ingevuld worden.</w:t>
      </w:r>
    </w:p>
    <w:p w14:paraId="034B2387" w14:textId="08BEA15F" w:rsidR="00DD3623" w:rsidRPr="00C173D5" w:rsidRDefault="00CF23E8" w:rsidP="000D06BC">
      <w:pPr>
        <w:rPr>
          <w:color w:val="3B3838" w:themeColor="background2" w:themeShade="40"/>
          <w:lang w:val="nl-NL"/>
        </w:rPr>
      </w:pPr>
      <w:r w:rsidRPr="00C173D5">
        <w:rPr>
          <w:color w:val="3B3838" w:themeColor="background2" w:themeShade="40"/>
          <w:lang w:val="nl-NL"/>
        </w:rPr>
        <w:t>Tot slot vraag</w:t>
      </w:r>
      <w:r w:rsidR="00DD3623" w:rsidRPr="00C173D5">
        <w:rPr>
          <w:color w:val="3B3838" w:themeColor="background2" w:themeShade="40"/>
          <w:lang w:val="nl-NL"/>
        </w:rPr>
        <w:t xml:space="preserve"> </w:t>
      </w:r>
      <w:r w:rsidR="00587A1A" w:rsidRPr="00C173D5">
        <w:rPr>
          <w:color w:val="3B3838" w:themeColor="background2" w:themeShade="40"/>
          <w:lang w:val="nl-NL"/>
        </w:rPr>
        <w:t>ik</w:t>
      </w:r>
      <w:r w:rsidR="00DD3623" w:rsidRPr="00C173D5">
        <w:rPr>
          <w:color w:val="3B3838" w:themeColor="background2" w:themeShade="40"/>
          <w:lang w:val="nl-NL"/>
        </w:rPr>
        <w:t xml:space="preserve"> u de beslissing om</w:t>
      </w:r>
      <w:r w:rsidR="002D38B1">
        <w:rPr>
          <w:color w:val="3B3838" w:themeColor="background2" w:themeShade="40"/>
          <w:lang w:val="nl-NL"/>
        </w:rPr>
        <w:t xml:space="preserve"> de</w:t>
      </w:r>
      <w:r w:rsidR="00DD3623" w:rsidRPr="00C173D5">
        <w:rPr>
          <w:color w:val="3B3838" w:themeColor="background2" w:themeShade="40"/>
          <w:lang w:val="nl-NL"/>
        </w:rPr>
        <w:t xml:space="preserve"> blinde besparingen </w:t>
      </w:r>
      <w:r w:rsidRPr="00C173D5">
        <w:rPr>
          <w:color w:val="3B3838" w:themeColor="background2" w:themeShade="40"/>
          <w:lang w:val="nl-NL"/>
        </w:rPr>
        <w:t xml:space="preserve">op de personeelsenveloppes </w:t>
      </w:r>
      <w:r w:rsidR="00DD3623" w:rsidRPr="00C173D5">
        <w:rPr>
          <w:color w:val="3B3838" w:themeColor="background2" w:themeShade="40"/>
          <w:lang w:val="nl-NL"/>
        </w:rPr>
        <w:t xml:space="preserve">stop te zetten. De besparingen die al 15 jaar </w:t>
      </w:r>
      <w:r w:rsidRPr="00C173D5">
        <w:rPr>
          <w:color w:val="3B3838" w:themeColor="background2" w:themeShade="40"/>
          <w:lang w:val="nl-NL"/>
        </w:rPr>
        <w:t>aan de gang</w:t>
      </w:r>
      <w:r w:rsidR="00DD3623" w:rsidRPr="00C173D5">
        <w:rPr>
          <w:color w:val="3B3838" w:themeColor="background2" w:themeShade="40"/>
          <w:lang w:val="nl-NL"/>
        </w:rPr>
        <w:t xml:space="preserve"> zijn</w:t>
      </w:r>
      <w:r w:rsidRPr="00C173D5">
        <w:rPr>
          <w:color w:val="3B3838" w:themeColor="background2" w:themeShade="40"/>
          <w:lang w:val="nl-NL"/>
        </w:rPr>
        <w:t>,</w:t>
      </w:r>
      <w:r w:rsidR="00DD3623" w:rsidRPr="00C173D5">
        <w:rPr>
          <w:color w:val="3B3838" w:themeColor="background2" w:themeShade="40"/>
          <w:lang w:val="nl-NL"/>
        </w:rPr>
        <w:t xml:space="preserve"> hebben </w:t>
      </w:r>
      <w:r w:rsidRPr="00C173D5">
        <w:rPr>
          <w:color w:val="3B3838" w:themeColor="background2" w:themeShade="40"/>
          <w:lang w:val="nl-NL"/>
        </w:rPr>
        <w:t>in</w:t>
      </w:r>
      <w:r w:rsidR="00DD3623" w:rsidRPr="00C173D5">
        <w:rPr>
          <w:color w:val="3B3838" w:themeColor="background2" w:themeShade="40"/>
          <w:lang w:val="nl-NL"/>
        </w:rPr>
        <w:t xml:space="preserve">tussen een invloed op de dienstverlening naar de burger toe. De personeelsbezetting in </w:t>
      </w:r>
      <w:r w:rsidR="00587A1A" w:rsidRPr="00C173D5">
        <w:rPr>
          <w:color w:val="3B3838" w:themeColor="background2" w:themeShade="40"/>
          <w:lang w:val="nl-NL"/>
        </w:rPr>
        <w:t xml:space="preserve">mijn dienst is </w:t>
      </w:r>
      <w:r w:rsidRPr="00C173D5">
        <w:rPr>
          <w:color w:val="3B3838" w:themeColor="background2" w:themeShade="40"/>
          <w:lang w:val="nl-NL"/>
        </w:rPr>
        <w:t>inmiddels</w:t>
      </w:r>
      <w:r w:rsidR="00587A1A" w:rsidRPr="00C173D5">
        <w:rPr>
          <w:color w:val="3B3838" w:themeColor="background2" w:themeShade="40"/>
          <w:lang w:val="nl-NL"/>
        </w:rPr>
        <w:t xml:space="preserve"> drastisch verminderd, waardoor het moeilijk aan het worden</w:t>
      </w:r>
      <w:r w:rsidR="00FA3BD6" w:rsidRPr="00C173D5">
        <w:rPr>
          <w:color w:val="3B3838" w:themeColor="background2" w:themeShade="40"/>
          <w:lang w:val="nl-NL"/>
        </w:rPr>
        <w:t xml:space="preserve"> is om de kerntaken uit te voeren.</w:t>
      </w:r>
    </w:p>
    <w:p w14:paraId="04CDB62B" w14:textId="3FCF448A" w:rsidR="00DD3623" w:rsidRPr="00C173D5" w:rsidRDefault="00FA3BD6" w:rsidP="000D06BC">
      <w:pPr>
        <w:rPr>
          <w:color w:val="3B3838" w:themeColor="background2" w:themeShade="40"/>
          <w:lang w:val="nl-NL"/>
        </w:rPr>
      </w:pPr>
      <w:r w:rsidRPr="00C173D5">
        <w:rPr>
          <w:color w:val="3B3838" w:themeColor="background2" w:themeShade="40"/>
          <w:lang w:val="nl-NL"/>
        </w:rPr>
        <w:t>Ik</w:t>
      </w:r>
      <w:r w:rsidR="00DD3623" w:rsidRPr="00C173D5">
        <w:rPr>
          <w:color w:val="3B3838" w:themeColor="background2" w:themeShade="40"/>
          <w:lang w:val="nl-NL"/>
        </w:rPr>
        <w:t xml:space="preserve"> wi</w:t>
      </w:r>
      <w:r w:rsidRPr="00C173D5">
        <w:rPr>
          <w:color w:val="3B3838" w:themeColor="background2" w:themeShade="40"/>
          <w:lang w:val="nl-NL"/>
        </w:rPr>
        <w:t>l</w:t>
      </w:r>
      <w:r w:rsidR="00DD3623" w:rsidRPr="00C173D5">
        <w:rPr>
          <w:color w:val="3B3838" w:themeColor="background2" w:themeShade="40"/>
          <w:lang w:val="nl-NL"/>
        </w:rPr>
        <w:t xml:space="preserve"> u, mijnheer de Eerste Minister, Mevrouw, Mijnheer de Vice-Eersteminister, danken om </w:t>
      </w:r>
      <w:r w:rsidRPr="00C173D5">
        <w:rPr>
          <w:color w:val="3B3838" w:themeColor="background2" w:themeShade="40"/>
          <w:lang w:val="nl-NL"/>
        </w:rPr>
        <w:t xml:space="preserve">mijn </w:t>
      </w:r>
      <w:r w:rsidR="00DD3623" w:rsidRPr="00C173D5">
        <w:rPr>
          <w:color w:val="3B3838" w:themeColor="background2" w:themeShade="40"/>
          <w:lang w:val="nl-NL"/>
        </w:rPr>
        <w:t>bezorgdheden mee te nemen tijdens de debatten voor de budgettaire controle.</w:t>
      </w:r>
    </w:p>
    <w:p w14:paraId="263593B6" w14:textId="707082C2" w:rsidR="000D06BC" w:rsidRPr="00C173D5" w:rsidRDefault="000D06BC">
      <w:pPr>
        <w:rPr>
          <w:color w:val="3B3838" w:themeColor="background2" w:themeShade="40"/>
        </w:rPr>
      </w:pPr>
    </w:p>
    <w:p w14:paraId="27553DEB" w14:textId="5E218805" w:rsidR="000D06BC" w:rsidRPr="00C173D5" w:rsidRDefault="00EE405D">
      <w:pPr>
        <w:rPr>
          <w:color w:val="3B3838" w:themeColor="background2" w:themeShade="40"/>
        </w:rPr>
      </w:pPr>
      <w:r>
        <w:rPr>
          <w:color w:val="3B3838" w:themeColor="background2" w:themeShade="40"/>
        </w:rPr>
        <w:t xml:space="preserve">Naam en voornaam </w:t>
      </w:r>
    </w:p>
    <w:sectPr w:rsidR="000D06BC" w:rsidRPr="00C17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8521E" w14:textId="77777777" w:rsidR="007C635C" w:rsidRDefault="007C635C" w:rsidP="00110601">
      <w:pPr>
        <w:spacing w:after="0" w:line="240" w:lineRule="auto"/>
      </w:pPr>
      <w:r>
        <w:separator/>
      </w:r>
    </w:p>
  </w:endnote>
  <w:endnote w:type="continuationSeparator" w:id="0">
    <w:p w14:paraId="5E68B43E" w14:textId="77777777" w:rsidR="007C635C" w:rsidRDefault="007C635C" w:rsidP="0011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FB6B0" w14:textId="77777777" w:rsidR="007C635C" w:rsidRDefault="007C635C" w:rsidP="00110601">
      <w:pPr>
        <w:spacing w:after="0" w:line="240" w:lineRule="auto"/>
      </w:pPr>
      <w:r>
        <w:separator/>
      </w:r>
    </w:p>
  </w:footnote>
  <w:footnote w:type="continuationSeparator" w:id="0">
    <w:p w14:paraId="372522EB" w14:textId="77777777" w:rsidR="007C635C" w:rsidRDefault="007C635C" w:rsidP="001106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6BC"/>
    <w:rsid w:val="000D06BC"/>
    <w:rsid w:val="00110601"/>
    <w:rsid w:val="001875B6"/>
    <w:rsid w:val="001A070D"/>
    <w:rsid w:val="001D4010"/>
    <w:rsid w:val="00267076"/>
    <w:rsid w:val="002D38B1"/>
    <w:rsid w:val="003F785D"/>
    <w:rsid w:val="004C6D92"/>
    <w:rsid w:val="00587A1A"/>
    <w:rsid w:val="00590CCB"/>
    <w:rsid w:val="007C635C"/>
    <w:rsid w:val="009453E1"/>
    <w:rsid w:val="00A83A7A"/>
    <w:rsid w:val="00C173D5"/>
    <w:rsid w:val="00CF23E8"/>
    <w:rsid w:val="00D77B06"/>
    <w:rsid w:val="00DD3623"/>
    <w:rsid w:val="00E52062"/>
    <w:rsid w:val="00E91B53"/>
    <w:rsid w:val="00EE405D"/>
    <w:rsid w:val="00F36C1B"/>
    <w:rsid w:val="00FA3BD6"/>
    <w:rsid w:val="00FD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8638DC"/>
  <w15:chartTrackingRefBased/>
  <w15:docId w15:val="{36197F9A-7283-4A32-AB5A-0C17CEC5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Lippens</dc:creator>
  <cp:keywords/>
  <dc:description/>
  <cp:lastModifiedBy>Cindy Willem</cp:lastModifiedBy>
  <cp:revision>5</cp:revision>
  <dcterms:created xsi:type="dcterms:W3CDTF">2022-02-02T14:11:00Z</dcterms:created>
  <dcterms:modified xsi:type="dcterms:W3CDTF">2022-02-03T11:05:00Z</dcterms:modified>
</cp:coreProperties>
</file>